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objektīvi nosaka PPP līguma noteikumos un piemēro bez saskaņošanas ar Privāto partneri, ja PPP līgumā noteiktie apstākļi ir iestājušies. Aktīva komponentu pieejamību novērtē, pamatojoties uz PPP līgumā noteiktajiem pieejamības standartiem. </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Pieprasījuma risks ir reti piemērojams, jo Privātais partneris parasti saņem samaksu par to, ka ir nodrošinājis skolas vai bērnudārza pieejamību atbilstoši noteiktam standartam, kas nav atkarīgs no pieprasījuma pēc skolas vai bērnudārza telpām. Var rasties zināms pieprasījuma risks, ja Privātajam partnerim ir atļauts veikt komerciālas darbības (papildus pamatpakalpojumam saskaņā ar līgumu), tomēr tas parasti veido nelielu daļu no projekta paredzamajiem ieņēmumiem.</w:t>
      </w:r>
    </w:p>
    <w:p>
      <w:pPr/>
      <w:r>
        <w:rPr/>
        <w:t xml:space="preserve">Kopumā Privātais partneris uzņemas riskus, kas saistīti ar tā fakultatīvajām komercdarbībām. Ja komercdarbība vairs nav iespējama regulatīvu iemeslu vai citu faktoru dēļ, kas ir saistīti ar Publisko partneri vai valdības rīcību, līgumā tiks paredzētas sekas. Tas var ietvert dažu noteikumu, tostarp cenas, grozīšanu (piemēram, ja Privātais partneris ir paļāvies uz trešo personu ienākumiem, lai varētu piedāvāt zemāku projekta cenu).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1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8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3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3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6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D0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7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8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5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6E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5F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30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7D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7D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1D2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2D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E7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DE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52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10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2026-08-30T07:25:54+03:00</dcterms:created>
  <dcterms:modified xsi:type="dcterms:W3CDTF">2026-08-30T07:25:54+03:00</dcterms:modified>
</cp:coreProperties>
</file>

<file path=docProps/custom.xml><?xml version="1.0" encoding="utf-8"?>
<Properties xmlns="http://schemas.openxmlformats.org/officeDocument/2006/custom-properties" xmlns:vt="http://schemas.openxmlformats.org/officeDocument/2006/docPropsVTypes"/>
</file>