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w:t>
      </w:r>
    </w:p>
    <w:p>
      <w:pPr/>
      <w:r>
        <w:rPr/>
        <w:t xml:space="preserve">Privātais partneris uzņemas risku izpildīt līgumā noteikto izpildes specifikāciju (t. i., nodrošinot, ka būvdarbi un darbības izpilde ir nepieciešamajā kvalitātē un līmenī). Uz pieejamību balstītā maksājumu struktūrā Privātā partnera maksājums var tikt samazināts, ja nav izpildīti pieejamības kritēriji un uz veiktspēju balstīti standarti. Piemēram, pieejamības kritēriji var būt saistīti ar pieejamo klašu un zonu skaitu konkrētos periodos, un darbības standarti var būt saistīti ar istabas temperatūru un tīrību vai grafiti noņemšanas pasākumiem. Ja konkrētus pieejamības kritērijus vai darbības rādītājus nevar izpildīt Publiskā partnera (vai citu valsts iestāžu) darbību vai neparedzētu apstākļu dēļ, Privātajam partnerim var būt tiesības uz atbrīvošanu no sekām (piemēram, ja to izraisījis atvieglojums, nepārvarama vara vai kompensācijas gadījums). Piemēram, tas var būt tad, ja Publiskā partnera mācībspēki nav pienācīgi uzraudzījuši skolēnus, kuri ir sabojājuši skolas īpašumu.</w:t>
      </w:r>
    </w:p>
    <w:p>
      <w:pPr/>
      <w:r>
        <w:rPr/>
        <w:t xml:space="preserve">Publiskais partneris ir atbildīgs par izpildes režīma ieviešanu un par to, lai darbības specifikācijas būtu pieejamas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 Veiktspējas uzraudzība arī ļauj Publiskajam partnerim pārraudzīt pakalpojumu līmeni kopumā un, iespējams, saņemt agrīnu brīdinājumu par jautājumiem, kas jāuzlabo vai jānovērš.</w:t>
      </w:r>
    </w:p>
    <w:p>
      <w:pPr/>
      <w:r>
        <w:rPr/>
        <w:t xml:space="preserve">Ja Publiskais partneris pieprasa, lai skolas telpas tiktu izmantotas arī citiem mērķiem (piemēram, sabiedriskai lietošanai brīvdienu periodos vai vakara nodarbībām, sporta aktivitātēm, stāvvietu izmantošanai u. c.), tad izpildes un samaksas režīmā tas ir jāņem vērā pēc vajadzības. Privātā partnera veiktās citas komerciālās darbības starp Privāto partneri un tā komerciālajiem darījumu partneriem parasti tiek dokumentētas atsevišķi.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apkopes aprīkojumu un materiālus) un pārvaldītu šo resursu izmaksas. Tam būs jāņem vērā, strukturējot piegādes kārtību.</w:t>
      </w:r>
    </w:p>
    <w:p>
      <w:pPr/>
      <w:r>
        <w:rPr/>
        <w:t xml:space="preserve">Attiecībā uz komunālo pakalpojumu sniegšanu un izmaksām parasti tas ir Publiskā partnera risks, bet maksājumu mehānisms var ietvert izmaksu samazināšanas stimulēšanas pasākumus (labs piemērs energoefektivitātes veicināšanai). Publiskajam partnerim var būt jumta līgumi ar komunālo pakalpojumu sniedzējiem, un Privātajam partnerim, visticamāk, būs grūti pieņemt šo izmaksu risku, ciktāl patēriņš ir atkarīgs no to pušu rīcības, kuras tas nevar ietekmēt (piemēram, skolotāji un skolēni atstāj logus atvērtus).</w:t>
      </w:r>
    </w:p>
    <w:p>
      <w:pPr/>
      <w:r>
        <w:rPr/>
        <w:t xml:space="preserve">Ja projekta darbības jomā ietilpst komunālo pakalpojumu sniegšana (piemēram, pašu vajadzībām paredzēta energoapgāde), tad tas būs Privātā partnera risks, ievērojot visus piemērojamos atvieglojumus. Lai risinātu patēriņa kontroli, līgumā var būt jāiekļauj robežvērtība, kuru pārsniedzot Publiskais partneris ir atbildīgs par komunālo pakalpojumu izmaksām, jo privātajam partnerim būs ierobežota kontrole pār lietotāju uzvedību.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skolas vai bērnudārza būvniecībai un ekspluatācijai vai pārvaldīšanai un intelektuālā īpašuma pārkāpumiem, izņemot gadījumus, kad Publiskais partneris Privātajam partnerim uzdod noteiktus dizaina vai citus tehnoloģiskus risinājumus, un tādā gadījumā attiecīgo risku var dalīt vai uzņemties Publiskais partneris.</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veselības aizsardzības un drošības jomā daļēji būs atkarīgs no atbildības par aktīvu darbību . Privātais partneris parasti uzņemas šo risku attiecībā uz tā operatīvo atbildību, kā arī attiecībā uz apkopes un remonta darbiem un citiem veselības aizsardzības un drošības aspektiem, kas saistīti ar Privātā partnera sniegtajiem pakalpojumiem. Saskaņā ar piemērojamajiem tiesību aktiem Privātā partnera atbildību var mazināt, ja veselības un drošības incidentu izraisījis vai veicinājis Publiskais partneris, cita valsts struktūra un (vai) trešās personas.</w:t>
      </w:r>
    </w:p>
    <w:p>
      <w:pPr/>
      <w:r>
        <w:rPr/>
        <w:t xml:space="preserve">Publiskais partneris parasti saglabā "ikdienas" atbildību par  veselības aizsardzību un drošību ekspluatācijā.</w:t>
      </w:r>
    </w:p>
    <w:p>
      <w:pPr/>
      <w:r>
        <w:rPr/>
        <w:t xml:space="preserve">Parasti skolās un bērnudārzos ir stingras likumdošanas prasības attiecībā uz veselības aizsardzību un drošību.</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w:t>
      </w:r>
    </w:p>
    <w:p>
      <w:pPr/>
      <w:r>
        <w:rPr/>
        <w:t xml:space="preserve">Privātajam partnerim vajadzētu izņemt atbilstīgu apdrošināšanu, lai segtu savas iespējamās saistības, un parasti Publiskais partneris noteiks konkrētas minimālās apdrošināšanas prasības saskaņā ar PPP līgumu.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Privātais partneris uzņemsies galveno risku, lai izpildītu atbilstošos tehniskās apkopes standartus, kas noteikti darbības specifikācijā, lai skola vai bērnudārzs tiktu nodoti atpakaļ paredzētajā stāvoklī pēc līguma pirmstermiņa izbeigšanas vai termiņa beigām. Tas ietver ikdienas apkopi, kā arī aprites cikla apkopi un noteiktu aktīvu nomaiņu. Ja aktīvi netiek uzturēti saskaņā ar darbības specifikāciju, tiks ieturēti maksājumi.</w:t>
      </w:r>
    </w:p>
    <w:p>
      <w:pPr/>
      <w:r>
        <w:rPr/>
        <w:t xml:space="preserve">Praksē dzīves cikla darbu novērtēšana var būt sarežģīta. Tam nepieciešama pieredze, un, ciktāl tas ir iespējams, Publiskais partneris var sniegt datus par dzīves cikla izmaksām. Tā kā PPP projektos uzturēšanas standarti bieži tiek noteikti augstākā līmenī nekā esošajos projektos,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gan ekspluatācijas posmā un jāpalielina aktīva lietderīgās lietošanas laiks.</w:t>
      </w:r>
    </w:p>
    <w:p>
      <w:pPr/>
      <w:r>
        <w:rPr/>
        <w:t xml:space="preserve">Publiskais partneris var izveidot aktīva apsaimniekošanas komiteju, lai pārraudzītu Privātā partnera uzturēšanas pakalpojumu izpildi, kā arī oficiālu mehānismu, lai apspriestu un atrisinātu ar darbību saistītus jautājumus. Kopumā Publiskajam partnerim ir jāizvairās no pārmērīgas iejaukšanās Privātā partnera uzturēšanas pakalpojumu sniegšanā, lai nesamazinātu riska nodošanas priekšrocības.</w:t>
      </w:r>
    </w:p>
    <w:p>
      <w:pPr/>
      <w:r>
        <w:rPr/>
        <w:t xml:space="preserve">Privātais partneris parasti uzņemas kopējo risku saistībā ar periodiskām un profilaktiskām apkopēm, avārijas apkopes darbiem, darbiem, kas izriet no projektēšanas vai būvniecības kļūdām un atsevišķos gadījumos par darbu, kas izriet no tehnoloģisku vai strukturālu izmaiņu ieviešanas. </w:t>
      </w:r>
    </w:p>
    <w:p>
      <w:pPr/>
      <w:r>
        <w:rPr>
          <w:b w:val="1"/>
          <w:bCs w:val="1"/>
        </w:rPr>
        <w:t xml:space="preserve">Esošie aktīvi projektā:  </w:t>
      </w:r>
      <w:r>
        <w:rPr>
          <w:i w:val="1"/>
          <w:iCs w:val="1"/>
        </w:rPr>
        <w:t xml:space="preserve">[dalīts risks]</w:t>
      </w:r>
      <w:br/>
      <w:r>
        <w:rPr/>
        <w:t xml:space="preserve">Attiecībā uz infrastruktūras uzturēšanu, risks ir jāuztic Privātajam partnerim, ciktāl ir zināms esošo aktīvu stāvoklis un turpmākos uzturēšanas darbus var pienācīgi novērtēt pieredzējis darbuzņēmējs. Dažos gadījumos Publiskajam partnerim var būt nepieciešams saglabāt dažu esošo aktīvu uzturēšanas vai slēpto defektu risku (un piemērotības mērķim standarti var būt attiecīgi jāpielāgo). </w:t>
      </w:r>
    </w:p>
    <w:p>
      <w:pPr/>
      <w:r>
        <w:rPr>
          <w:b w:val="1"/>
          <w:bCs w:val="1"/>
        </w:rPr>
        <w:t xml:space="preserve">Esošie (vai citi) aktīvi, kas saistīti ar projektu:</w:t>
      </w:r>
      <w:r>
        <w:rPr/>
        <w:t xml:space="preserve"> </w:t>
      </w:r>
      <w:r>
        <w:rPr>
          <w:i w:val="1"/>
          <w:iCs w:val="1"/>
        </w:rPr>
        <w:t xml:space="preserve">[publisks risks]</w:t>
      </w:r>
      <w:br/>
      <w:r>
        <w:rPr/>
        <w:t xml:space="preserve">Publiskajam partnerim var pieprasīt garantēt un aktīvi pārvaldīt esošo (vai citu) skolas ēku vai citu iekārtu un (vai) pakalpojumu uzturēšanu, kas integrējas projektā, ja tas ietekmē projekta ēku pieejamību.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Darbības posmā vandālisms parasti ir Privātā partnera risks , dažkārt ar robežvērtību, kuru pārsniedzot Publiskais partneris dalīs risku. Maksimālā robežvērtība būs atkarīga no riska veida un no tā, cik lielā mērā Privātais partneris var efektīvi ietekmēt vai mazināt risku, izmantojot konkrētus materiālus, ierobežojot piekļuvi noteiktām teritorijām utt. Piemēram, dažus materiālus var vieglāk notīrīt no grafiti.</w:t>
      </w:r>
    </w:p>
    <w:p>
      <w:pPr/>
      <w:r>
        <w:rPr/>
        <w:t xml:space="preserve">Privātajam partnerim ir jāpilda savi pienākumi attiecībā uz vietas drošību un materiāliem, kas novērš un samazina vandālisma ietekmi vai varētu novērst vandālismu. Dažreiz tas ir risks, ar kuru Publiskajam partnerim var nākties dalīties, piemēram, ja Privātais partneris ir izpildījis visas prasības, bet nevar novērst vandālismu. Šo risku var dalīt, sniedzot privātajam partnerim atbrīvojumu no izpildes atskaitījumiem, kamēr kaitējums tiek novērsts, vai ar izmaksu segšanu. Būtiska būs arī apdrošināšanas pieejamība, kā arī tas, vai skolotāji, lai novērstu vandālisma rašanos, adekvāti veikuši uzraudzību mācību laikā. Ja citiem Publiskā partnera darbiniekiem ir drošības funkcijas, riska sadalījums būs atkarīgs no tā, vai viņi ir pienācīgi veikuši savus pienākumus.</w:t>
      </w:r>
    </w:p>
    <w:p>
      <w:pPr/>
      <w:r>
        <w:rPr/>
        <w:t xml:space="preserve">Vandālisma risks var būt lielāks saistībā ar to, ka tā ir skola vai bērnudārzs, vai,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ka viņam nebūs nepieciešamo tehnisko vai finansiālo iespēju, lai nodrošinātu projektu saskaņā ar līgumu. Tomēr, tā kā šādu kļūmju sekas var radīt pakalpojumu pārtraukumus un neērtības Publiskajam partnerim un lietotājiem,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arī,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w:t>
      </w:r>
    </w:p>
    <w:p>
      <w:pPr/>
      <w:r>
        <w:rPr>
          <w:b w:val="1"/>
          <w:bCs w:val="1"/>
        </w:rPr>
        <w:t xml:space="preserve">Nav privātā partnera vainas:  </w:t>
      </w:r>
      <w:r>
        <w:rPr>
          <w:i w:val="1"/>
          <w:iCs w:val="1"/>
        </w:rPr>
        <w:t xml:space="preserve">[publisks risks]</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shd w:val="clear" w:fill="white"/>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Bieži PPP līgumos iekļauj noteikumus par personālu, kas būs iesaistīts Privātā partnera veiktajā projekta īstenošanā. Šie noteikumi var aptvert dažādus jautājumus, tostarp:</w:t>
      </w:r>
    </w:p>
    <w:p>
      <w:pPr/>
      <w:r>
        <w:rPr>
          <w:color w:val="black"/>
        </w:rPr>
        <w:t xml:space="preserve">- katras puses tiesības un pienākumus saistībā ar personāla pārcelšanu citā amatā saskaņā ar attiecīgajiem tiesību aktiem gan PPP līguma darbības laikā, gan darbības termiņa beigās;</w:t>
      </w:r>
    </w:p>
    <w:p>
      <w:pPr/>
      <w:r>
        <w:rPr>
          <w:color w:val="black"/>
        </w:rPr>
        <w:t xml:space="preserve">- katras puses tiesības un pienākumus saistībā ar nodarbinātības un pensijas tiesību aizsardzību gan tam personālam, kas tiek pārcelts darbā Privātā partnera uzņēmumā, gan jaunpieņemtajam personālam;</w:t>
      </w:r>
    </w:p>
    <w:p>
      <w:pPr/>
      <w:r>
        <w:rPr>
          <w:color w:val="black"/>
        </w:rPr>
        <w:t xml:space="preserve">- saistības personāla pensiju jomā;</w:t>
      </w:r>
    </w:p>
    <w:p>
      <w:pPr/>
      <w:r>
        <w:rPr>
          <w:color w:val="black"/>
        </w:rPr>
        <w:t xml:space="preserve">- prasības attiecībā uz noteiktu kvalifikāciju un prasmēm, kā arī uz projekta īstenošanā iesaistīto personu atbilstību kritērijiem;</w:t>
      </w:r>
    </w:p>
    <w:p>
      <w:pPr/>
      <w:r>
        <w:rPr>
          <w:color w:val="black"/>
        </w:rPr>
        <w:t xml:space="preserve">- informācijas sniegšanu saistībā ar projekta īstenošanā iesaistīto personālu.</w:t>
      </w:r>
    </w:p>
    <w:p>
      <w:pPr/>
      <w:r>
        <w:rPr>
          <w:color w:val="black"/>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3.13. Mijiedarbības risks ar citiem pakalpojumiem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Lai gan Privātais partneris parasti vislabāk spēj pārvaldīt daudzus mijiedarbības riskus ekspluatācijas posmā, var būt gadījumi, kad šis risks ir jādala ar Publisko partneri vai jāuzņemas tam. Tas var būt gadījumos, kad ar projektu saskaras citi infrastruktūras vai valsts pārvaldīti pakalpojumi (piemēram, skolēnu autobusu pakalpojumi), un jo īpaši gadījumos, kad Publiskais partneris saglabā pamatpakalpojumus.</w:t>
      </w:r>
    </w:p>
    <w:p>
      <w:pPr/>
      <w:r>
        <w:rPr/>
        <w:t xml:space="preserve">Tas ir īpaši svarīgi skolu projektos, kur pamata mācību pakalpojumus sniedz Publiskā partnera darbinieki. Ja Publiskā partnera (vai citu valsts iestāžu), tostarp to personāla, piegādātāju vai (apakšuzņēmēju), darbību dēļ (vai nepilnību dēļ) nevar izpildīt konkrētus pieejamības kritērijus vai darbības rādītājus, Publiskais partneris uzņemas attiecīgo risku, un Privātajam partnerim var būt tiesības uz atvieglojumu vai kompensāciju. Piemēram, ietekme var būt Publiskā partnera nodarbināto darbinieku (piemēram, mācībspēku) darbībām.</w:t>
      </w:r>
    </w:p>
    <w:p>
      <w:pPr/>
      <w:r>
        <w:rPr/>
        <w:t xml:space="preserve">Atkarībā no noteikumiem, par kuriem puses ir vienojušās, atvieglojumi var būt piemēroti arī tad, ja tiek nelabvēlīgi ietekmēta Privātā partnera atļauto komercdarbību veikšana.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9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5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0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B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1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2026-08-30T02:11:40+03:00</dcterms:created>
  <dcterms:modified xsi:type="dcterms:W3CDTF">2026-08-30T02:11:40+03:00</dcterms:modified>
</cp:coreProperties>
</file>

<file path=docProps/custom.xml><?xml version="1.0" encoding="utf-8"?>
<Properties xmlns="http://schemas.openxmlformats.org/officeDocument/2006/custom-properties" xmlns:vt="http://schemas.openxmlformats.org/officeDocument/2006/docPropsVTypes"/>
</file>