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saskaņošasn ar PRivāto partneri, ja PPP līgumā noteiktie aptstākļi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Privātais partneris uzņemas jebkādu pieprasījuma risku, pretendentiem būtu jāveic riska novērtējumu un plašu datu analīzi, lai noteiktu cenu saviem piedāvājumiem. Līgumā būtu pienācīgi jāpievēršas un jāsadala risks attiecībā uz visiem faktoriem, kas ietekmē pieprasījumu, tostarp sociālajiem jautājumiem, un pusēm būtu jāizstrādā visaptveroša stratēģija, lai risinātu projekta īstenošanas jautājumus. Saskaņā ar līgumu būtu jāizvērtē un jārisina arī iespējas izmantot papildu trešo personu ieņēmumu plūsmas. Ja privātais partneris paļaujas uz pieprasījuma ieņēmumiem, lai projekts būtu finansiāli dzīvotspējīgs, tas būs galvenais risks.</w:t>
      </w:r>
    </w:p>
    <w:p>
      <w:pPr/>
      <w:r>
        <w:rPr/>
        <w:t xml:space="preserve">Aktīva raksturs un kvalitāte ir svarīgs faktors spējai nodot pieprasījuma risku Privātajam partnerim. Pieprasījuma riska nodošanas potenciāls būs atkarīgs no dažādiem faktoriem, tostarp citu blakus esošu vai savienotu projektu ietekmes, kas varētu ietekmēt pieprasījumu un cenas.</w:t>
      </w:r>
    </w:p>
    <w:p>
      <w:pPr/>
      <w:r>
        <w:rPr>
          <w:b w:val="1"/>
          <w:bCs w:val="1"/>
        </w:rPr>
        <w:t xml:space="preserve">Lielāks pieprasījums, nekā paredzēts: </w:t>
      </w:r>
      <w:r>
        <w:rPr/>
        <w:t xml:space="preserve">Ja Privātajam partnerim ir piešķirts pieprasījuma risks, tas principā uzņemas pieprasījuma svārstību radīto negatīvo ietekmi. Ir dažādi faktori, kas nosaka vai ietekmē lietotāju pieprasījumu, un dažus no tiem Publiskais partneris var kontrolēt vairāk nekā Privātais partneris. Lielākam pieprasījumam vajadzētu palielināt ieņēmumus, bet praksē ir jautājumi, kas jāņem vērā, piemēram, kompleksa noslodzes pieaugums, visticamāk, ietekmēs arī izmaksas, jo būs nepieciešami lielāki uzturēšanas izdevumi, nekā paredzēts. Ja noslodze ir lielāka nekā bija paredzēts, var būt jāapsver daži būtiski dzīves cikla jautājumi, kas var pārsniegt papildu ieņēmumus, ko saņem Privātais partneris. Ja netiks ieguldīti papildu līdzekļi uzturēšanā, komplekss varētu kļūt neizmantojams pirms tā termiņa beigām.</w:t>
      </w:r>
    </w:p>
    <w:p>
      <w:pPr/>
      <w:r>
        <w:rPr>
          <w:b w:val="1"/>
          <w:bCs w:val="1"/>
        </w:rPr>
        <w:t xml:space="preserve">Mazāks pieprasījums, nekā paredzēts:</w:t>
      </w:r>
      <w:r>
        <w:rPr/>
        <w:t xml:space="preserve"> Ja pieprasījums ir daudz mazāks, nekā prognozēts, tas ietekmēs Privātā partnera ieņēmumus. To var izraisīt cenu līmenis, bet iemesls var būt arī neprecīza prognozēšana. Lai mazinātu šo risku, abas puses nodrošina, ka, novērtējot projektu, ir veikta atbilstoša pieprasījuma analīze. Ja Publiskais partneris nepilda jebkādas līgumsaistības vai pasākumus, kas nelabvēlīgi ietekmē pieprasījumu, parasti uzskata par kompensācijas notikumu.</w:t>
      </w:r>
    </w:p>
    <w:p>
      <w:pPr/>
      <w:r>
        <w:rPr/>
        <w:t xml:space="preserve">Publiskajam partnerim jāņem vērā, ka konkursa process var mudināt pretendentus agresīvi prognozēt ieņēmumu apjomu. Pārāk optimistiskas prognozes var radīt finansiālas problēmas Privātajam partnerim un var novest pie projekta neveiksmes. Publiskais partneris var mazināt risku, pasūtot savu pieprasījuma analīzi, kas palīdzētu tam izvērtēt piedāvājumus un to pamatā esošās prognozes.  Citi Privātā partnera riski ietver gadījumus, kad tas neuztur kompleksu pienācīgā līmenī, un tas negatīvi ietekmē pieprasījumu.</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A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8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C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F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C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8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6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9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6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B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4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84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9D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E2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66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E8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27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07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32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EB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2026-06-29T20:52:26+00:00</dcterms:created>
  <dcterms:modified xsi:type="dcterms:W3CDTF">2026-06-29T20:52:26+00:00</dcterms:modified>
</cp:coreProperties>
</file>

<file path=docProps/custom.xml><?xml version="1.0" encoding="utf-8"?>
<Properties xmlns="http://schemas.openxmlformats.org/officeDocument/2006/custom-properties" xmlns:vt="http://schemas.openxmlformats.org/officeDocument/2006/docPropsVTypes"/>
</file>