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izpildīt līgumā noteikto izpildes specifikāciju (t.i., nodrošinot, ka darbi un darbības izpilde ir nepieciešamajā kvalitātē un līmenī). Maksājumu struktūrā, kas balstīta uz pieejamību, Privātā partnera maksājums var tikt samazināts, ja netiek izpildīti pieejamības kritēriji un uz sniegumu balstīti standarti. Piemēram, pieejamības kritērijus var saistīt ar būvi, kurā darbojas karstā ūdens sistēmas, un veiktspējas standartus var saistīt ar reakcijas laiku būves remonta veikšanai. Ja noteiktus pieejamības kritērijus vai darbības rādītājus nevar izpildīt Publiskā partnera (vai citu valsts iestāžu) darbību vai neparedzētu apstākļu dēļ, Privātajam partnerim var būt tiesības uz atvieglojumu (piemēram, ja to izraisa atvieglojums, nepārvarama vara vai kompensācijas pasākums). Piemēram, tas var būt gadījums, kad Publiskā partnera darbinieki vai apsaimniekošanas pakalpojumu sniedzējs (ja šādu pakalpojumu sniedzēju ir nolīdzis Publiskais partneris) nav nodrošinājis Privātajam partnerim piekļuvi defekta novēršanai. </w:t>
      </w:r>
    </w:p>
    <w:p>
      <w:pPr/>
      <w:r>
        <w:rPr/>
        <w:t xml:space="preserve">Publiskais partneris ir atbildīgs par izpildes režīma ieviešanu un par to, lai darbības specifikācijas būtu sasniedzamas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nodrošināšanu, parasti komunālo pakalpojumu pieslēguma iegāde kompleksam ir Privātā partnera risks, bet komunālo pakalpojumu izmaksas parasti sedz no ieņēmumiem. Maksājumu mehānisms var ietvert izmaksu samazināšanas stimulēšanas pasākumus (lielisks piemērs energoefektivitātes veicināšanai), ja komplekss neatbilst noteiktiem energoefektivitātes standartiem.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kompleksa būvniecībai un ekspluatācijai vai pārvaldīšanai un intelektuālā īpašuma pārkāpumiem, izņemot gadījumus, kad Publiskais partneris Privātajam partnerim uzliek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attiecībā uz veselības aizsardzību un drošību būs atkarīgs no atbildības par aktīvu darbību. </w:t>
      </w:r>
    </w:p>
    <w:p>
      <w:pPr/>
      <w:r>
        <w:rPr/>
        <w:t xml:space="preserve">Privātais partneris parasti uzņemas risku saistībā ar tā apkopes vai remonta darbiem un citiem veselības aizsardzības un drošības aspektiem, kas saistīti ar Privātā partnera sniegtajiem pakalpojumiem šajā posmā. Saskaņā ar piemērojamiem tiesību aktiem Privātā partnera atbildība var tikt mazināta tādā mērā, kādā veselības aizsardzības un drošības incidentu izraisīja vai veicināja Publiskais partneris vai cita valsts iestāde un (vai) trešā puse, piemēram, pakalpojumu sniedzējs. </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uzturēšanas standartus, kas noteikti darbības specifikācijā, lai sporta un rehabilitācijas kompleks tiktu nodots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pieejams, Publiskais partneris var sniegt datus par dzīves cikla izmaksām. Tā kā PPP projektos uzturēšanas standarti bieži tiek noteikti augstākā līmenī nekā esošajos projektos, un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dzīvojamā fonda lietderīgās lietošanas laiks.</w:t>
      </w:r>
    </w:p>
    <w:p>
      <w:pPr/>
      <w:r>
        <w:rPr/>
        <w:t xml:space="preserve">Publiskais partneris var izveidot kompleksa apsaimniekošanas komiteju, lai pārraudzītu Privātā partnera uzturēšanas pakalpojumu izpildi, kā arī oficiālu mehānismu, lai apspriestu un atrisinātu ar darbību saistītus jautājumus. Vispārīgi runājot,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 </w:t>
      </w:r>
    </w:p>
    <w:p>
      <w:pPr/>
      <w:r>
        <w:rPr>
          <w:b w:val="1"/>
          <w:bCs w:val="1"/>
        </w:rPr>
        <w:t xml:space="preserve">Esošie aktīvi projektā:  </w:t>
      </w:r>
      <w:r>
        <w:rPr>
          <w:i w:val="1"/>
          <w:iCs w:val="1"/>
        </w:rPr>
        <w:t xml:space="preserve">[dalīts risks]</w:t>
      </w:r>
      <w:br/>
      <w:r>
        <w:rPr/>
        <w:t xml:space="preserve">Attiecībā uz esošo aktīvu, uzturēšanas risks ir jāuztic Privātajam partnerim, ciktāl ir zināms esošo īpašumu stāvoklis un turpmākos uzturēšanas darbus var pienācīgi novērtēt pieredzējis darbuzņēmējs.</w:t>
      </w:r>
    </w:p>
    <w:p>
      <w:pPr/>
      <w:r>
        <w:rPr/>
        <w:t xml:space="preserve">Dažos gadījumos Publiskajam partnerim var būt nepieciešams saglabāt dažu esošo aktīvu uzturēšanas vai slēpto defektu risku (un piemērotības mērķim standarti var būt attiecīgi jāpielāgo). </w:t>
      </w:r>
    </w:p>
    <w:p>
      <w:pPr/>
      <w:r>
        <w:rPr>
          <w:b w:val="1"/>
          <w:bCs w:val="1"/>
        </w:rPr>
        <w:t xml:space="preserve">Esošie (vai citi) aktīvi, kas saistīti ar projektu:</w:t>
      </w:r>
      <w:r>
        <w:rPr/>
        <w:t xml:space="preserve"> </w:t>
      </w:r>
      <w:r>
        <w:rPr>
          <w:i w:val="1"/>
          <w:iCs w:val="1"/>
        </w:rPr>
        <w:t xml:space="preserve">[publisks risks]</w:t>
      </w:r>
      <w:br/>
      <w:r>
        <w:rPr/>
        <w:t xml:space="preserve">Publiskajam partnerim var pieprasīt garantēt un aktīvi pārvaldīt esošo (vai citu) kompleksa ēku vai citu iekārtu un (vai) pakalpojumu uzturēšanu, kas integrējas projektā, ja tas ietekmē projekta ēku pieejamību.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Darbības posmā vandālisms parasti ir Privātā partnera risks , dažkārt ar robežvērtību, kuru pārsniedzot Publiskais partneris dalīs risku. Maksimālā robežvērtība būs atkarīga no riska veida un no tā, cik lielā mērā Privātais partneris var efektīvi ietekmēt vai mazināt risku, izmantojot konkrētus materiālus, ierobežojot piekļuvi noteiktām teritorijām utt. Piemēram, dažus materiālus var vieglāk notīrīt no grafiti.</w:t>
      </w:r>
    </w:p>
    <w:p>
      <w:pPr/>
      <w:r>
        <w:rPr/>
        <w:t xml:space="preserve">Privātajam partnerim ir jāpilda savi pienākumi attiecībā uz vietas drošību un materiāliem, kas novērš un samazina vandālisma ietekmi vai varētu novērst vandālismu. Dažreiz tas ir risks, ar kuru Publiskajam partnerim var nākties dalīties, piemēram, ja Privātais partneris ir izpildījis visas prasības, bet nevar novērst vandālismu. Šo risku var dalīt, sniedzot privātajam partnerim atbrīvojumu no izpildes atskaitījumiem, kamēr kaitējums tiek novērsts, vai ar izmaksu segšanu. Būtiska būs arī apdrošināšanas pieejamība. Ja citiem Publiskā partnera darbiniekiem ir drošības funkcijas, riska sadalījums būs atkarīgs no tā, vai viņi ir pienācīgi veikuši savus pienākumus.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kompleksa apmeklētājiem,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Bieži PPP līgumos iekļauj noteikumus par personālu, kas būs iesaistīts Privātā partnera veiktajā projekta īstenošanā. Šie noteikumi var aptvert dažādus jautājumus, tostarp:</w:t>
      </w:r>
    </w:p>
    <w:p>
      <w:pPr/>
      <w:r>
        <w:rPr>
          <w:color w:val="black"/>
        </w:rPr>
        <w:t xml:space="preserve">- katras puses tiesības un pienākumus saistībā ar personāla pārcelšanu citā amatā saskaņā ar attiecīgajiem tiesību aktiem gan PPP līguma darbības laikā, gan darbības termiņa beigās;</w:t>
      </w:r>
    </w:p>
    <w:p>
      <w:pPr/>
      <w:r>
        <w:rPr>
          <w:color w:val="black"/>
        </w:rPr>
        <w:t xml:space="preserve">- katras puses tiesības un pienākumus saistībā ar nodarbinātības un pensijas tiesību aizsardzību gan tam personālam, kas tiek pārcelts darbā Privātā partnera uzņēmumā, gan jaunpieņemtajam personālam;</w:t>
      </w:r>
    </w:p>
    <w:p>
      <w:pPr/>
      <w:r>
        <w:rPr>
          <w:color w:val="black"/>
        </w:rPr>
        <w:t xml:space="preserve">- saistības personāla pensiju jomā;</w:t>
      </w:r>
    </w:p>
    <w:p>
      <w:pPr/>
      <w:r>
        <w:rPr>
          <w:color w:val="black"/>
        </w:rPr>
        <w:t xml:space="preserve">- prasības attiecībā uz noteiktu kvalifikāciju un prasmēm, kā arī uz projekta īstenošanā iesaistīto personu atbilstību kritērijiem;</w:t>
      </w:r>
    </w:p>
    <w:p>
      <w:pPr/>
      <w:r>
        <w:rPr>
          <w:color w:val="black"/>
        </w:rPr>
        <w:t xml:space="preserve">- informācijas sniegšanu saistībā ar projekta īstenošanā iesaistīto personālu.</w:t>
      </w:r>
    </w:p>
    <w:p>
      <w:pPr/>
      <w:r>
        <w:rPr>
          <w:color w:val="black"/>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3.13. Mijiedarbības risks ar citiem pakalpojumiem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Lai gan Privātais partneris parasti vislabāk spēj pārvaldīt daudzus mijiedarbības riskus ekspluatācijas posmā, var būt gadījumi, kad šis risks ir jādala ar Publisko partneri vai jāuzņemas tam. Tas var būt gadījumos, kad ar projektu saskaras citi infrastruktūras vai valsts pārvaldīti pakalpojumi (piemēram, sabiedriskā transporta pakalpojumi).</w:t>
      </w:r>
    </w:p>
    <w:p>
      <w:pPr/>
      <w:r>
        <w:rPr/>
        <w:t xml:space="preserve">Atkarībā no noteikumiem, par kuriem puses ir vienojušās, atvieglojumi var būt piemēroti arī tad, ja tiek nelabvēlīgi ietekmēta Privātā partnera atļauto komercdarbību veikšana.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5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E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1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2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4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2026-08-30T08:03:51+03:00</dcterms:created>
  <dcterms:modified xsi:type="dcterms:W3CDTF">2026-08-30T08:03:51+03:00</dcterms:modified>
</cp:coreProperties>
</file>

<file path=docProps/custom.xml><?xml version="1.0" encoding="utf-8"?>
<Properties xmlns="http://schemas.openxmlformats.org/officeDocument/2006/custom-properties" xmlns:vt="http://schemas.openxmlformats.org/officeDocument/2006/docPropsVTypes"/>
</file>